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1635" cy="3638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40" cy="363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95pt;height:28.5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1</w:t>
            </w:r>
            <w:r>
              <w:rPr/>
              <w:t>9</w:t>
            </w:r>
            <w:r>
              <w:rPr/>
              <w:t>/02/22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17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9:3</w:t>
            </w: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3580" cy="41910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418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3pt;height:32.9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parcial de data de validade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(óleo e leite integral).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Desobstruir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utensílios com sujidade importante.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produtos abertos com sujidade.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vencido após aberto </w:t>
            </w:r>
            <w:r>
              <w:rPr>
                <w:b/>
              </w:rPr>
              <w:t xml:space="preserve">frutas cristalizadas </w:t>
            </w:r>
            <w:r>
              <w:rPr>
                <w:b/>
              </w:rPr>
              <w:t>. (</w:t>
            </w:r>
            <w:r>
              <w:rPr>
                <w:b/>
              </w:rPr>
              <w:t>vencido em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</w:rPr>
              <w:t>/02/2022</w:t>
            </w:r>
            <w:r>
              <w:rPr>
                <w:b/>
              </w:rPr>
              <w:t xml:space="preserve">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para o consumo armazenado de forma incorreta. (</w:t>
            </w:r>
            <w:r>
              <w:rPr>
                <w:b/>
              </w:rPr>
              <w:t>coco seco com copo dentro e parcialmente aberto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perfex desprotegido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</w:t>
            </w:r>
            <w:r>
              <w:rPr>
                <w:b/>
              </w:rPr>
              <w:t>preenchida de forma incorreta. (domingo preenchido)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de de limpeza preenchida parcialmente.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obstrução parcial da entrada do local por caixas.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Desobstruir 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caixa de diversos produtos com incrustação. (F</w:t>
            </w:r>
            <w:r>
              <w:rPr>
                <w:b/>
              </w:rPr>
              <w:t>uba, gergelim e frutas cristalizadas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processo,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vazamento de água da geladeira em cima de produto aberto. (geladeira vertical próximo a entrada.)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NÃO AUDITADA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vitrine de pães.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o local e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bolos com cobertura, expostos para venda, em temperatura ambiente.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importante.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erfez desprotegido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adequadamente.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parede descascando.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importante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hélices quebradas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urgente.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com sujidade na parte interna.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bolor em queij</w:t>
            </w:r>
            <w:r>
              <w:rPr>
                <w:b/>
              </w:rPr>
              <w:t>o Estepe d</w:t>
            </w:r>
            <w:r>
              <w:rPr>
                <w:b/>
              </w:rPr>
              <w:t>a marca Regina(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unidade).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fora do sistema PVPS. Queijo minas Frescal Campo Verde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Respeitar o sistema.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perfex desprotegido. </w:t>
            </w:r>
            <w:r>
              <w:rPr>
                <w:b/>
              </w:rPr>
              <w:t xml:space="preserve">(RECORRENTE)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utensílios com sujidade importante.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4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impróprios para consumo sem identificação. (RECORRENTE)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  <w:r>
              <w:rPr>
                <w:b/>
              </w:rPr>
              <w:t>(RE ORRENTE)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loja/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FF000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FF000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parte interna da lixeira.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Higienizar corretamente. 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limo em bancada de manipulação.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Higienizar corretamente. 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teto. (Bandejas de isopor).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 no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Armazenar corretamente e orientar os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quebrado.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processo de descongelamento sem identificação.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diretamente sobre o piso. (Produtos de limpeza e bandejas de isopor ).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infiltração/goteira.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urgente.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diretamente sobre o piso. (bandejas de isopor).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estrados para 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Deixar o local livre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lacre de extintor de incêndio rompido.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caixas de papelão em estoque desorganizado.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caixas de papelão de forma adequada.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em desuso. (caixa d´água e andaime).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alocar ao destino de descarte.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  <w:sz w:val="22"/>
                <w:szCs w:val="22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sabonete liquido desabastecido.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Abastecimento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351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bookmarkStart w:id="1" w:name="__DdeLink__800_2956659942"/>
            <w:bookmarkStart w:id="2" w:name="__DdeLink__800_2956659942"/>
            <w:bookmarkEnd w:id="2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LibreOffice/5.3.4.2$Windows_x86 LibreOffice_project/f82d347ccc0be322489bf7da61d7e4ad13fe2ff3</Application>
  <Pages>5</Pages>
  <Words>991</Words>
  <Characters>6761</Characters>
  <CharactersWithSpaces>7670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2022-02-22T21:47:42Z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