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5760" cy="34798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200" cy="347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7pt;height:27.3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9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07/03</w:t>
            </w:r>
            <w:r>
              <w:rPr/>
              <w:t>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>Início: 08:0</w:t>
            </w: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3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0:30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7705" cy="40322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200" cy="402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05pt;height:31.65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dispenser de sabonete líquido solto em cima da pia.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produtos abertos em geladeira sem identificação (leite integral </w:t>
            </w:r>
            <w:r>
              <w:rPr>
                <w:b/>
              </w:rPr>
              <w:t>e margarina</w:t>
            </w:r>
            <w:r>
              <w:rPr>
                <w:b/>
              </w:rPr>
              <w:t xml:space="preserve"> )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da identificação dos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Frios,  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caixas de utensílios e embalagens.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luminárias sem proteção contra explosão de lampadas conforme legislação (Portaria 2619/11)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23°C.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luminárias sem proteção contra explosão de </w:t>
            </w:r>
            <w:r>
              <w:rPr>
                <w:b/>
              </w:rPr>
              <w:t>lâmpadas</w:t>
            </w:r>
            <w:r>
              <w:rPr>
                <w:b/>
              </w:rPr>
              <w:t xml:space="preserve"> conforme legislação (Portaria 2619/11)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</w:t>
            </w:r>
            <w:r>
              <w:rPr>
                <w:b/>
              </w:rPr>
              <w:t>d</w:t>
            </w:r>
            <w:r>
              <w:rPr>
                <w:b/>
              </w:rPr>
              <w:t>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 de freezer de carnes danificada.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geladeira de hambúrguer congelado.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desgelo.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puxador de freezer de pão de queijo congelado danificado.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por risco de acidente.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acumulo de  gelo em </w:t>
            </w:r>
            <w:r>
              <w:rPr>
                <w:b/>
              </w:rPr>
              <w:t>freezer de pão de queijo congelado.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o desgelo do equipamento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sujidade em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limpeza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 na entrada da câmara.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chão.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desgelo.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sem rótulo e data validade. (Sorvete)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como troca e p</w:t>
            </w:r>
            <w:r>
              <w:rPr>
                <w:b/>
              </w:rPr>
              <w:t xml:space="preserve">rovidenciar  junto ao fornecedor.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liminária solta, deixando a luz exposta dentro da câmara.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>ão tipo baguete congelado aberto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sujo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borrachas de vedação dos freezeres de iogurte danificadas.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caixa de utensílios.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produto manipulado sem identificação (pontas de queijo muçarela)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 sem sapato de segurança no setor. RISCO DE ACIDENTE!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</w:t>
            </w:r>
            <w:r>
              <w:rPr>
                <w:b/>
              </w:rPr>
              <w:t xml:space="preserve">ar sapato de segurança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  <w:r>
              <w:rPr>
                <w:b/>
              </w:rPr>
              <w:t>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 de vedação do freezer de produtos congelados danificada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em freezer de açaí.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desgelo.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Todos os q</w:t>
            </w:r>
            <w:r>
              <w:rPr>
                <w:b/>
              </w:rPr>
              <w:t>uadro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de força obstruído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por produtos por produtos. 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Obstrução de alarme de incêndio e hidratante.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Desobstruir local e manter livre o acesso.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Bebedouro sem data de validade em filtro.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prateleiras de produto de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quadro de força obstruído por produtos impróprios.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desobstrução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Sabonete liquido perfumado no setor.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retirada do mesmo e abastecer com sabonete inodoro.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LibreOffice/5.3.4.2$Windows_x86 LibreOffice_project/f82d347ccc0be322489bf7da61d7e4ad13fe2ff3</Application>
  <Pages>4</Pages>
  <Words>838</Words>
  <Characters>5402</Characters>
  <CharactersWithSpaces>6178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2021-03-09T22:57:52Z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